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8CA2" w14:textId="77777777" w:rsidR="00E23276" w:rsidRPr="009870AD" w:rsidRDefault="00E23276" w:rsidP="00E23276">
      <w:pPr>
        <w:jc w:val="center"/>
        <w:rPr>
          <w:b/>
          <w:bCs/>
        </w:rPr>
      </w:pPr>
      <w:r w:rsidRPr="009870AD">
        <w:rPr>
          <w:b/>
          <w:bCs/>
        </w:rPr>
        <w:t>Доход и обычный перевод на карту — как отличить и не попасть на НДФЛ</w:t>
      </w:r>
    </w:p>
    <w:p w14:paraId="6302089A" w14:textId="77777777" w:rsidR="00E23276" w:rsidRPr="009870AD" w:rsidRDefault="00E23276" w:rsidP="00E23276">
      <w:pPr>
        <w:rPr>
          <w:i/>
          <w:iCs/>
        </w:rPr>
      </w:pPr>
      <w:r w:rsidRPr="009870AD">
        <w:rPr>
          <w:b/>
          <w:bCs/>
          <w:i/>
          <w:iCs/>
        </w:rPr>
        <w:t>Что с чем путают:</w:t>
      </w:r>
      <w:r w:rsidRPr="009870AD">
        <w:rPr>
          <w:i/>
          <w:iCs/>
        </w:rPr>
        <w:t> думают, что теперь с любого поступления на карту ФНС потребует заплатить НДФЛ.</w:t>
      </w:r>
    </w:p>
    <w:p w14:paraId="6010EF68" w14:textId="77777777" w:rsidR="00E23276" w:rsidRPr="009870AD" w:rsidRDefault="00E23276" w:rsidP="00E23276">
      <w:pPr>
        <w:rPr>
          <w:i/>
          <w:iCs/>
        </w:rPr>
      </w:pPr>
      <w:r w:rsidRPr="009870AD">
        <w:rPr>
          <w:b/>
          <w:bCs/>
          <w:i/>
          <w:iCs/>
        </w:rPr>
        <w:t>Главное отличие:</w:t>
      </w:r>
      <w:r w:rsidRPr="009870AD">
        <w:rPr>
          <w:i/>
          <w:iCs/>
        </w:rPr>
        <w:t> сам по себе обмен деньгами по умолчанию налогом не облагается. Под НДФЛ подпадут только доходы.</w:t>
      </w:r>
    </w:p>
    <w:p w14:paraId="04BD6577" w14:textId="77777777" w:rsidR="00E23276" w:rsidRPr="009870AD" w:rsidRDefault="00E23276" w:rsidP="00E23276">
      <w:pPr>
        <w:rPr>
          <w:b/>
          <w:bCs/>
        </w:rPr>
      </w:pPr>
      <w:r w:rsidRPr="009870AD">
        <w:rPr>
          <w:b/>
          <w:bCs/>
        </w:rPr>
        <w:t>Просто банковский перевод</w:t>
      </w:r>
    </w:p>
    <w:p w14:paraId="70EA434B" w14:textId="77777777" w:rsidR="00E23276" w:rsidRPr="009870AD" w:rsidRDefault="00E23276" w:rsidP="00E23276">
      <w:r w:rsidRPr="009870AD">
        <w:t>Основной критерий, при котором человек точно не должен платить налог, — деньги не принесли выгоду. Если физик получил средства на карту в качестве возврата долга либо это был расчет внутри семьи или между друзьями, дохода не возникает. То же самое касается сумм, которые собирают для покупки общего подарка или другой коллективной траты.</w:t>
      </w:r>
    </w:p>
    <w:p w14:paraId="662495DF" w14:textId="77777777" w:rsidR="00E23276" w:rsidRPr="009870AD" w:rsidRDefault="00E23276" w:rsidP="00E23276">
      <w:r w:rsidRPr="009870AD">
        <w:t>В кодексе есть список доходов, с которых не нужно платить НДФЛ (</w:t>
      </w:r>
      <w:hyperlink r:id="rId4" w:anchor="ZA023J03E9" w:tgtFrame="_blank" w:history="1">
        <w:r w:rsidRPr="009870AD">
          <w:rPr>
            <w:rStyle w:val="ac"/>
          </w:rPr>
          <w:t>ст. 217 НК</w:t>
        </w:r>
      </w:hyperlink>
      <w:r w:rsidRPr="009870AD">
        <w:t>). Доходы в денежной или натуральной форме, которые приходят от других физиков в качестве подарка, освобождены от НДФЛ. Причем не имеет значения, в какой форме получен презент: в виде перевода на карту, физического подарка или конверта с наличными. Исключение — случаи дарения недвижимости, транспорта, акций, долей, паев (</w:t>
      </w:r>
      <w:hyperlink r:id="rId5" w:anchor="XA00M8G2N7" w:tgtFrame="_blank" w:history="1">
        <w:r w:rsidRPr="009870AD">
          <w:rPr>
            <w:rStyle w:val="ac"/>
          </w:rPr>
          <w:t>п. 18.1 ст. 217 НК</w:t>
        </w:r>
      </w:hyperlink>
      <w:r w:rsidRPr="009870AD">
        <w:t>).</w:t>
      </w:r>
    </w:p>
    <w:p w14:paraId="24966F25" w14:textId="77777777" w:rsidR="00E23276" w:rsidRPr="009870AD" w:rsidRDefault="00E23276" w:rsidP="00E23276">
      <w:pPr>
        <w:rPr>
          <w:b/>
          <w:bCs/>
        </w:rPr>
      </w:pPr>
      <w:r w:rsidRPr="009870AD">
        <w:rPr>
          <w:b/>
          <w:bCs/>
        </w:rPr>
        <w:t>Доход, с которого нужно заплатить НДФЛ</w:t>
      </w:r>
    </w:p>
    <w:p w14:paraId="3A329DD5" w14:textId="77777777" w:rsidR="00E23276" w:rsidRPr="009870AD" w:rsidRDefault="00E23276" w:rsidP="00E23276">
      <w:r w:rsidRPr="009870AD">
        <w:t>К облагаемым относят доходы физиков от налоговых агентов, то есть от компаний и ИП. Но нередко люди получают доход не только от налогового агента, но и при самостоятельных операциях. Например, от продажи имущества или выигрыша в лотерею. Если НДФЛ при этом никто не удерживал, то нужно рассчитать и заплатить налог самостоятельно и подать декларацию 3-НДФЛ в инспекцию.</w:t>
      </w:r>
    </w:p>
    <w:p w14:paraId="42DDC17B" w14:textId="77777777" w:rsidR="00E23276" w:rsidRPr="009870AD" w:rsidRDefault="00E23276" w:rsidP="00E23276">
      <w:r w:rsidRPr="009870AD">
        <w:t>Найти у человека облагаемый доход налоговики смогут, только если целенаправленно начнут проверку. Например, инспекторы могут заинтересоваться безработными физиками без официальных источников дохода. Если человеку регулярно приходят на карту деньги, это сигнал, что, возможно, физик работает нелегально или ведет незарегистрированную предпринимательскую деятельность (информация на сайте УФНС по Ставропольскому краю от 16.10.2025 →nalog.gov.ru). Так ищут зарплату в конвертах, арендные платежи и другую деятельность без уплаты НДФЛ.</w:t>
      </w:r>
    </w:p>
    <w:p w14:paraId="50546200" w14:textId="77777777" w:rsidR="00E23276" w:rsidRPr="009870AD" w:rsidRDefault="00E23276" w:rsidP="00E23276">
      <w:r w:rsidRPr="009870AD">
        <w:t>Памятка</w:t>
      </w:r>
    </w:p>
    <w:p w14:paraId="50407D6E" w14:textId="77777777" w:rsidR="00E23276" w:rsidRPr="009870AD" w:rsidRDefault="00E23276" w:rsidP="00E23276">
      <w:pPr>
        <w:rPr>
          <w:b/>
          <w:bCs/>
        </w:rPr>
      </w:pPr>
      <w:r w:rsidRPr="009870AD">
        <w:rPr>
          <w:b/>
          <w:bCs/>
        </w:rPr>
        <w:t>Какие переводы облагаются НДФЛ, а какие нет</w:t>
      </w:r>
    </w:p>
    <w:tbl>
      <w:tblPr>
        <w:tblW w:w="9923" w:type="dxa"/>
        <w:tblCellMar>
          <w:left w:w="0" w:type="dxa"/>
          <w:right w:w="0" w:type="dxa"/>
        </w:tblCellMar>
        <w:tblLook w:val="04A0" w:firstRow="1" w:lastRow="0" w:firstColumn="1" w:lastColumn="0" w:noHBand="0" w:noVBand="1"/>
      </w:tblPr>
      <w:tblGrid>
        <w:gridCol w:w="5245"/>
        <w:gridCol w:w="4678"/>
      </w:tblGrid>
      <w:tr w:rsidR="00E23276" w:rsidRPr="00F00DFE" w14:paraId="764C90C0" w14:textId="77777777" w:rsidTr="00BA443E">
        <w:tc>
          <w:tcPr>
            <w:tcW w:w="5245" w:type="dxa"/>
            <w:tcMar>
              <w:top w:w="105" w:type="dxa"/>
              <w:left w:w="0" w:type="dxa"/>
              <w:bottom w:w="105" w:type="dxa"/>
              <w:right w:w="525" w:type="dxa"/>
            </w:tcMar>
            <w:hideMark/>
          </w:tcPr>
          <w:p w14:paraId="5518C039" w14:textId="1869A2F8" w:rsidR="00E23276" w:rsidRPr="00F00DFE" w:rsidRDefault="00E23276" w:rsidP="00BA443E">
            <w:r w:rsidRPr="00FE4EEF">
              <w:rPr>
                <w:noProof/>
              </w:rPr>
              <w:lastRenderedPageBreak/>
              <w:drawing>
                <wp:inline distT="0" distB="0" distL="0" distR="0" wp14:anchorId="775C3DB7" wp14:editId="792EEDE7">
                  <wp:extent cx="1527810" cy="1203960"/>
                  <wp:effectExtent l="0" t="0" r="0" b="0"/>
                  <wp:docPr id="211053125"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7810" cy="1203960"/>
                          </a:xfrm>
                          <a:prstGeom prst="rect">
                            <a:avLst/>
                          </a:prstGeom>
                          <a:noFill/>
                          <a:ln>
                            <a:noFill/>
                          </a:ln>
                        </pic:spPr>
                      </pic:pic>
                    </a:graphicData>
                  </a:graphic>
                </wp:inline>
              </w:drawing>
            </w:r>
            <w:r w:rsidRPr="00F00DFE">
              <w:t> </w:t>
            </w:r>
            <w:r w:rsidRPr="00F00DFE">
              <w:rPr>
                <w:b/>
                <w:bCs/>
              </w:rPr>
              <w:t>Не облагаются НДФЛ</w:t>
            </w:r>
            <w:r w:rsidRPr="00F00DFE">
              <w:br/>
              <w:t>Перевод коллеге, другу, родственнику. Материальная помощь от родственников, друзей, коллег и пр. Возврат долга. Денежный подарок от другого человека</w:t>
            </w:r>
          </w:p>
        </w:tc>
        <w:tc>
          <w:tcPr>
            <w:tcW w:w="4678" w:type="dxa"/>
            <w:tcMar>
              <w:top w:w="105" w:type="dxa"/>
              <w:left w:w="0" w:type="dxa"/>
              <w:bottom w:w="105" w:type="dxa"/>
              <w:right w:w="525" w:type="dxa"/>
            </w:tcMar>
            <w:hideMark/>
          </w:tcPr>
          <w:p w14:paraId="31932DB0" w14:textId="26ACB2D3" w:rsidR="00E23276" w:rsidRPr="00F00DFE" w:rsidRDefault="00E23276" w:rsidP="00BA443E">
            <w:r w:rsidRPr="00FE4EEF">
              <w:rPr>
                <w:noProof/>
              </w:rPr>
              <w:drawing>
                <wp:inline distT="0" distB="0" distL="0" distR="0" wp14:anchorId="28B89576" wp14:editId="48816280">
                  <wp:extent cx="1527810" cy="1203960"/>
                  <wp:effectExtent l="0" t="0" r="0" b="0"/>
                  <wp:docPr id="825842450"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7810" cy="1203960"/>
                          </a:xfrm>
                          <a:prstGeom prst="rect">
                            <a:avLst/>
                          </a:prstGeom>
                          <a:noFill/>
                          <a:ln>
                            <a:noFill/>
                          </a:ln>
                        </pic:spPr>
                      </pic:pic>
                    </a:graphicData>
                  </a:graphic>
                </wp:inline>
              </w:drawing>
            </w:r>
            <w:r w:rsidRPr="00F00DFE">
              <w:t> </w:t>
            </w:r>
            <w:r w:rsidRPr="00F00DFE">
              <w:rPr>
                <w:b/>
                <w:bCs/>
              </w:rPr>
              <w:t>Облагаются НДФЛ</w:t>
            </w:r>
            <w:r w:rsidRPr="00F00DFE">
              <w:br/>
              <w:t>Доходы от продажи автомобиля, недвижимости, техники и пр. Регулярные переводы без документов от одного физика или компании. Поступления от анонимных источников. Переводы с бизнес-назначениями: за консультации, услуги и пр.</w:t>
            </w:r>
          </w:p>
        </w:tc>
      </w:tr>
    </w:tbl>
    <w:p w14:paraId="725A1174" w14:textId="77777777" w:rsidR="00E23276" w:rsidRPr="009870AD" w:rsidRDefault="00E23276" w:rsidP="00E23276">
      <w:pPr>
        <w:jc w:val="right"/>
      </w:pPr>
      <w:r w:rsidRPr="009870AD">
        <w:t xml:space="preserve">Юлия </w:t>
      </w:r>
      <w:proofErr w:type="spellStart"/>
      <w:proofErr w:type="gramStart"/>
      <w:r w:rsidRPr="009870AD">
        <w:t>Рачкова,ведущий</w:t>
      </w:r>
      <w:proofErr w:type="spellEnd"/>
      <w:proofErr w:type="gramEnd"/>
      <w:r w:rsidRPr="009870AD">
        <w:t xml:space="preserve"> эксперт журнала «Главбух»</w:t>
      </w:r>
    </w:p>
    <w:p w14:paraId="045C8B27" w14:textId="77777777" w:rsidR="00E23276" w:rsidRPr="00D03CBE" w:rsidRDefault="00E23276" w:rsidP="00E23276">
      <w:pPr>
        <w:jc w:val="right"/>
      </w:pPr>
      <w:r>
        <w:t>Журнал «Главбух» №23, 2025</w:t>
      </w:r>
    </w:p>
    <w:p w14:paraId="61BE983E" w14:textId="57E6D46D" w:rsidR="00173540" w:rsidRPr="00E23276" w:rsidRDefault="00173540" w:rsidP="00E23276"/>
    <w:sectPr w:rsidR="00173540" w:rsidRPr="00E23276" w:rsidSect="00D66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40"/>
    <w:rsid w:val="000735E2"/>
    <w:rsid w:val="00087B70"/>
    <w:rsid w:val="000A5ECB"/>
    <w:rsid w:val="001063E0"/>
    <w:rsid w:val="00173540"/>
    <w:rsid w:val="001A4AC3"/>
    <w:rsid w:val="004173D8"/>
    <w:rsid w:val="005F22A4"/>
    <w:rsid w:val="00686C03"/>
    <w:rsid w:val="0073202A"/>
    <w:rsid w:val="00763B2E"/>
    <w:rsid w:val="007D19F8"/>
    <w:rsid w:val="008341C0"/>
    <w:rsid w:val="00953C3A"/>
    <w:rsid w:val="00A43B77"/>
    <w:rsid w:val="00A95C79"/>
    <w:rsid w:val="00AE3A72"/>
    <w:rsid w:val="00BD5436"/>
    <w:rsid w:val="00BF3DB2"/>
    <w:rsid w:val="00CD5338"/>
    <w:rsid w:val="00D66F26"/>
    <w:rsid w:val="00DD6A5F"/>
    <w:rsid w:val="00DF1FA1"/>
    <w:rsid w:val="00E23276"/>
    <w:rsid w:val="00EA1B07"/>
    <w:rsid w:val="00EF3844"/>
    <w:rsid w:val="00F92283"/>
    <w:rsid w:val="00FA2E20"/>
    <w:rsid w:val="00FA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F721"/>
  <w15:chartTrackingRefBased/>
  <w15:docId w15:val="{6FA3FDC6-99C2-4F73-8321-5431E159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40"/>
    <w:rPr>
      <w:rFonts w:ascii="Calibri" w:eastAsia="Calibri" w:hAnsi="Calibri" w:cs="Times New Roman"/>
      <w14:ligatures w14:val="none"/>
    </w:rPr>
  </w:style>
  <w:style w:type="paragraph" w:styleId="1">
    <w:name w:val="heading 1"/>
    <w:basedOn w:val="a"/>
    <w:next w:val="a"/>
    <w:link w:val="10"/>
    <w:uiPriority w:val="9"/>
    <w:qFormat/>
    <w:rsid w:val="00173540"/>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17354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173540"/>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17354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17354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17354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17354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17354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17354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5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35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35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35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35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35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540"/>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5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540"/>
    <w:rPr>
      <w:rFonts w:eastAsiaTheme="majorEastAsia" w:cstheme="majorBidi"/>
      <w:color w:val="272727" w:themeColor="text1" w:themeTint="D8"/>
    </w:rPr>
  </w:style>
  <w:style w:type="paragraph" w:styleId="a3">
    <w:name w:val="Title"/>
    <w:basedOn w:val="a"/>
    <w:next w:val="a"/>
    <w:link w:val="a4"/>
    <w:uiPriority w:val="10"/>
    <w:qFormat/>
    <w:rsid w:val="001735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73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54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1735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54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22">
    <w:name w:val="Цитата 2 Знак"/>
    <w:basedOn w:val="a0"/>
    <w:link w:val="21"/>
    <w:uiPriority w:val="29"/>
    <w:rsid w:val="00173540"/>
    <w:rPr>
      <w:i/>
      <w:iCs/>
      <w:color w:val="404040" w:themeColor="text1" w:themeTint="BF"/>
    </w:rPr>
  </w:style>
  <w:style w:type="paragraph" w:styleId="a7">
    <w:name w:val="List Paragraph"/>
    <w:basedOn w:val="a"/>
    <w:uiPriority w:val="34"/>
    <w:qFormat/>
    <w:rsid w:val="00173540"/>
    <w:pPr>
      <w:ind w:left="720"/>
      <w:contextualSpacing/>
    </w:pPr>
    <w:rPr>
      <w:rFonts w:asciiTheme="minorHAnsi" w:eastAsiaTheme="minorHAnsi" w:hAnsiTheme="minorHAnsi" w:cstheme="minorBidi"/>
      <w14:ligatures w14:val="standardContextual"/>
    </w:rPr>
  </w:style>
  <w:style w:type="character" w:styleId="a8">
    <w:name w:val="Intense Emphasis"/>
    <w:basedOn w:val="a0"/>
    <w:uiPriority w:val="21"/>
    <w:qFormat/>
    <w:rsid w:val="00173540"/>
    <w:rPr>
      <w:i/>
      <w:iCs/>
      <w:color w:val="2F5496" w:themeColor="accent1" w:themeShade="BF"/>
    </w:rPr>
  </w:style>
  <w:style w:type="paragraph" w:styleId="a9">
    <w:name w:val="Intense Quote"/>
    <w:basedOn w:val="a"/>
    <w:next w:val="a"/>
    <w:link w:val="aa"/>
    <w:uiPriority w:val="30"/>
    <w:qFormat/>
    <w:rsid w:val="0017354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aa">
    <w:name w:val="Выделенная цитата Знак"/>
    <w:basedOn w:val="a0"/>
    <w:link w:val="a9"/>
    <w:uiPriority w:val="30"/>
    <w:rsid w:val="00173540"/>
    <w:rPr>
      <w:i/>
      <w:iCs/>
      <w:color w:val="2F5496" w:themeColor="accent1" w:themeShade="BF"/>
    </w:rPr>
  </w:style>
  <w:style w:type="character" w:styleId="ab">
    <w:name w:val="Intense Reference"/>
    <w:basedOn w:val="a0"/>
    <w:uiPriority w:val="32"/>
    <w:qFormat/>
    <w:rsid w:val="00173540"/>
    <w:rPr>
      <w:b/>
      <w:bCs/>
      <w:smallCaps/>
      <w:color w:val="2F5496" w:themeColor="accent1" w:themeShade="BF"/>
      <w:spacing w:val="5"/>
    </w:rPr>
  </w:style>
  <w:style w:type="character" w:styleId="ac">
    <w:name w:val="Hyperlink"/>
    <w:uiPriority w:val="99"/>
    <w:unhideWhenUsed/>
    <w:rsid w:val="00173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e.glavbukh.ru/npd-doc?npmid=99&amp;npid=901765862&amp;anchor=XA00M8G2N7" TargetMode="External"/><Relationship Id="rId4" Type="http://schemas.openxmlformats.org/officeDocument/2006/relationships/hyperlink" Target="https://e.glavbukh.ru/npd-doc?npmid=99&amp;npid=901765862&amp;anchor=ZA023J03E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Хомякова</dc:creator>
  <cp:keywords/>
  <dc:description/>
  <cp:lastModifiedBy>Екатерина Хомякова</cp:lastModifiedBy>
  <cp:revision>2</cp:revision>
  <dcterms:created xsi:type="dcterms:W3CDTF">2025-12-16T07:43:00Z</dcterms:created>
  <dcterms:modified xsi:type="dcterms:W3CDTF">2025-12-16T07:43:00Z</dcterms:modified>
</cp:coreProperties>
</file>